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02E1" w:rsidRPr="004E02E1" w:rsidRDefault="004E02E1" w:rsidP="004E02E1">
      <w:pPr>
        <w:pStyle w:val="Heading1"/>
        <w:jc w:val="center"/>
        <w:rPr>
          <w:b/>
          <w:color w:val="000000" w:themeColor="text1"/>
          <w:sz w:val="40"/>
          <w:szCs w:val="40"/>
        </w:rPr>
      </w:pPr>
      <w:r w:rsidRPr="004E02E1">
        <w:rPr>
          <w:b/>
          <w:color w:val="000000" w:themeColor="text1"/>
          <w:sz w:val="40"/>
          <w:szCs w:val="40"/>
        </w:rPr>
        <w:fldChar w:fldCharType="begin"/>
      </w:r>
      <w:r w:rsidRPr="004E02E1">
        <w:rPr>
          <w:b/>
          <w:color w:val="000000" w:themeColor="text1"/>
          <w:sz w:val="40"/>
          <w:szCs w:val="40"/>
        </w:rPr>
        <w:instrText xml:space="preserve"> HYPERLINK "http://definitions.uslegal.com/p/prosecutorial-misconduct/" </w:instrText>
      </w:r>
      <w:r w:rsidRPr="004E02E1">
        <w:rPr>
          <w:b/>
          <w:color w:val="000000" w:themeColor="text1"/>
          <w:sz w:val="40"/>
          <w:szCs w:val="40"/>
        </w:rPr>
        <w:fldChar w:fldCharType="separate"/>
      </w:r>
      <w:r w:rsidRPr="004E02E1">
        <w:rPr>
          <w:b/>
          <w:color w:val="000000" w:themeColor="text1"/>
          <w:sz w:val="40"/>
          <w:szCs w:val="40"/>
        </w:rPr>
        <w:t>Prosecutorial Misconduct Law &amp; Legal Definition</w:t>
      </w:r>
      <w:r w:rsidRPr="004E02E1">
        <w:rPr>
          <w:b/>
          <w:color w:val="000000" w:themeColor="text1"/>
          <w:sz w:val="40"/>
          <w:szCs w:val="40"/>
        </w:rPr>
        <w:fldChar w:fldCharType="end"/>
      </w:r>
    </w:p>
    <w:p w:rsidR="004E02E1" w:rsidRPr="004E02E1" w:rsidRDefault="004E02E1" w:rsidP="004E02E1">
      <w:pPr>
        <w:spacing w:after="0" w:line="240" w:lineRule="auto"/>
        <w:rPr>
          <w:rFonts w:ascii="Times New Roman" w:eastAsia="Times New Roman" w:hAnsi="Times New Roman" w:cs="Times New Roman"/>
          <w:sz w:val="24"/>
          <w:szCs w:val="24"/>
        </w:rPr>
      </w:pPr>
    </w:p>
    <w:p w:rsidR="004E02E1" w:rsidRPr="004E02E1" w:rsidRDefault="004E02E1" w:rsidP="004E02E1">
      <w:pPr>
        <w:spacing w:before="100" w:beforeAutospacing="1" w:after="100" w:afterAutospacing="1" w:line="240" w:lineRule="auto"/>
        <w:rPr>
          <w:rFonts w:ascii="Times New Roman" w:eastAsia="Times New Roman" w:hAnsi="Times New Roman" w:cs="Times New Roman"/>
          <w:sz w:val="24"/>
          <w:szCs w:val="24"/>
        </w:rPr>
      </w:pPr>
      <w:r w:rsidRPr="004E02E1">
        <w:rPr>
          <w:rFonts w:ascii="Times New Roman" w:eastAsia="Times New Roman" w:hAnsi="Times New Roman" w:cs="Times New Roman"/>
          <w:sz w:val="24"/>
          <w:szCs w:val="24"/>
        </w:rPr>
        <w:t>Prosecutorial misconduct is conduct which violates court rules or ethical standards of law practice. Examples, among others, may include:</w:t>
      </w:r>
    </w:p>
    <w:p w:rsidR="004E02E1" w:rsidRPr="004E02E1" w:rsidRDefault="004E02E1" w:rsidP="004E02E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E02E1">
        <w:rPr>
          <w:rFonts w:ascii="Times New Roman" w:eastAsia="Times New Roman" w:hAnsi="Times New Roman" w:cs="Times New Roman"/>
          <w:sz w:val="24"/>
          <w:szCs w:val="24"/>
        </w:rPr>
        <w:t>Courtroom misconduct (making improper remarks or improperly introducing evidence designed to prejudice the jury: violating rules regarding selection of the jury; or making improper closing arguments);</w:t>
      </w:r>
    </w:p>
    <w:p w:rsidR="004E02E1" w:rsidRPr="004E02E1" w:rsidRDefault="004E02E1" w:rsidP="004E02E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E02E1">
        <w:rPr>
          <w:rFonts w:ascii="Times New Roman" w:eastAsia="Times New Roman" w:hAnsi="Times New Roman" w:cs="Times New Roman"/>
          <w:sz w:val="24"/>
          <w:szCs w:val="24"/>
        </w:rPr>
        <w:t>Hiding, destroying or tampering with evidence, case files or court records;</w:t>
      </w:r>
    </w:p>
    <w:p w:rsidR="004E02E1" w:rsidRPr="004E02E1" w:rsidRDefault="004E02E1" w:rsidP="004E02E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E02E1">
        <w:rPr>
          <w:rFonts w:ascii="Times New Roman" w:eastAsia="Times New Roman" w:hAnsi="Times New Roman" w:cs="Times New Roman"/>
          <w:sz w:val="24"/>
          <w:szCs w:val="24"/>
        </w:rPr>
        <w:t>Failing to disclose evidence that might tend to exonerate the defendant</w:t>
      </w:r>
    </w:p>
    <w:p w:rsidR="004E02E1" w:rsidRPr="004E02E1" w:rsidRDefault="004E02E1" w:rsidP="004E02E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E02E1">
        <w:rPr>
          <w:rFonts w:ascii="Times New Roman" w:eastAsia="Times New Roman" w:hAnsi="Times New Roman" w:cs="Times New Roman"/>
          <w:sz w:val="24"/>
          <w:szCs w:val="24"/>
        </w:rPr>
        <w:t>Threatening, badgering or tampering with witnesses;</w:t>
      </w:r>
    </w:p>
    <w:p w:rsidR="004E02E1" w:rsidRPr="004E02E1" w:rsidRDefault="004E02E1" w:rsidP="004E02E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E02E1">
        <w:rPr>
          <w:rFonts w:ascii="Times New Roman" w:eastAsia="Times New Roman" w:hAnsi="Times New Roman" w:cs="Times New Roman"/>
          <w:sz w:val="24"/>
          <w:szCs w:val="24"/>
        </w:rPr>
        <w:t>Presenting false or misleading evidence;</w:t>
      </w:r>
    </w:p>
    <w:p w:rsidR="004E02E1" w:rsidRPr="004E02E1" w:rsidRDefault="004E02E1" w:rsidP="004E02E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E02E1">
        <w:rPr>
          <w:rFonts w:ascii="Times New Roman" w:eastAsia="Times New Roman" w:hAnsi="Times New Roman" w:cs="Times New Roman"/>
          <w:sz w:val="24"/>
          <w:szCs w:val="24"/>
        </w:rPr>
        <w:t>Selective or vindictive prosecution</w:t>
      </w:r>
    </w:p>
    <w:p w:rsidR="004E02E1" w:rsidRPr="004E02E1" w:rsidRDefault="004E02E1" w:rsidP="004E02E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E02E1">
        <w:rPr>
          <w:rFonts w:ascii="Times New Roman" w:eastAsia="Times New Roman" w:hAnsi="Times New Roman" w:cs="Times New Roman"/>
          <w:sz w:val="24"/>
          <w:szCs w:val="24"/>
        </w:rPr>
        <w:t>Denial of a speedy trial rights</w:t>
      </w:r>
    </w:p>
    <w:p w:rsidR="004E02E1" w:rsidRPr="004E02E1" w:rsidRDefault="004E02E1" w:rsidP="004E02E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E02E1">
        <w:rPr>
          <w:rFonts w:ascii="Times New Roman" w:eastAsia="Times New Roman" w:hAnsi="Times New Roman" w:cs="Times New Roman"/>
          <w:sz w:val="24"/>
          <w:szCs w:val="24"/>
        </w:rPr>
        <w:t>Use of unreliable and untruthful witnesses and snitches</w:t>
      </w:r>
    </w:p>
    <w:p w:rsidR="00146DFD" w:rsidRDefault="004E02E1">
      <w:hyperlink r:id="rId5" w:history="1">
        <w:r w:rsidRPr="00735936">
          <w:rPr>
            <w:rStyle w:val="Hyperlink"/>
          </w:rPr>
          <w:t>http://definitions.uslegal.com/p/prosecutorial-misconduct/</w:t>
        </w:r>
      </w:hyperlink>
    </w:p>
    <w:p w:rsidR="004E02E1" w:rsidRDefault="004E02E1"/>
    <w:p w:rsidR="004E02E1" w:rsidRPr="00884032" w:rsidRDefault="00982C2A">
      <w:pPr>
        <w:rPr>
          <w:sz w:val="24"/>
          <w:szCs w:val="24"/>
        </w:rPr>
      </w:pPr>
      <w:r w:rsidRPr="00884032">
        <w:rPr>
          <w:sz w:val="24"/>
          <w:szCs w:val="24"/>
        </w:rPr>
        <w:t xml:space="preserve">In study of 1472 exonerations, 700 cases involved </w:t>
      </w:r>
      <w:r w:rsidRPr="00884032">
        <w:rPr>
          <w:sz w:val="24"/>
          <w:szCs w:val="24"/>
        </w:rPr>
        <w:t>prosecutors and police</w:t>
      </w:r>
      <w:r w:rsidRPr="00884032">
        <w:rPr>
          <w:sz w:val="24"/>
          <w:szCs w:val="24"/>
        </w:rPr>
        <w:t xml:space="preserve"> misconduct.  In many cases it difficult to separate police and prosecut</w:t>
      </w:r>
      <w:r w:rsidR="00E0761D" w:rsidRPr="00884032">
        <w:rPr>
          <w:sz w:val="24"/>
          <w:szCs w:val="24"/>
        </w:rPr>
        <w:t xml:space="preserve">or actions, as the prosecutorial misconduct </w:t>
      </w:r>
      <w:r w:rsidRPr="00884032">
        <w:rPr>
          <w:sz w:val="24"/>
          <w:szCs w:val="24"/>
        </w:rPr>
        <w:t xml:space="preserve">may </w:t>
      </w:r>
      <w:r w:rsidR="00E0761D" w:rsidRPr="00884032">
        <w:rPr>
          <w:sz w:val="24"/>
          <w:szCs w:val="24"/>
        </w:rPr>
        <w:t xml:space="preserve">involve accepting </w:t>
      </w:r>
      <w:r w:rsidR="00E0761D" w:rsidRPr="00884032">
        <w:rPr>
          <w:sz w:val="24"/>
          <w:szCs w:val="24"/>
        </w:rPr>
        <w:t xml:space="preserve">police </w:t>
      </w:r>
      <w:r w:rsidR="00E0761D" w:rsidRPr="00884032">
        <w:rPr>
          <w:sz w:val="24"/>
          <w:szCs w:val="24"/>
        </w:rPr>
        <w:t xml:space="preserve">evidence known to be illegally </w:t>
      </w:r>
      <w:r w:rsidRPr="00884032">
        <w:rPr>
          <w:sz w:val="24"/>
          <w:szCs w:val="24"/>
        </w:rPr>
        <w:t>obtain</w:t>
      </w:r>
      <w:r w:rsidR="00E0761D" w:rsidRPr="00884032">
        <w:rPr>
          <w:sz w:val="24"/>
          <w:szCs w:val="24"/>
        </w:rPr>
        <w:t>ed</w:t>
      </w:r>
      <w:r w:rsidRPr="00884032">
        <w:rPr>
          <w:sz w:val="24"/>
          <w:szCs w:val="24"/>
        </w:rPr>
        <w:t xml:space="preserve"> </w:t>
      </w:r>
      <w:r w:rsidR="00E0761D" w:rsidRPr="00884032">
        <w:rPr>
          <w:sz w:val="24"/>
          <w:szCs w:val="24"/>
        </w:rPr>
        <w:t>and in some cases manufactured, giving prosecutors “plausible deniability” of responsibility.</w:t>
      </w:r>
    </w:p>
    <w:p w:rsidR="00E0761D" w:rsidRDefault="00E0761D" w:rsidP="0060215C">
      <w:pPr>
        <w:pStyle w:val="Heading2"/>
      </w:pPr>
      <w:r w:rsidRPr="00884032">
        <w:t>Examples of Misconduct:</w:t>
      </w:r>
    </w:p>
    <w:p w:rsidR="0060215C" w:rsidRPr="0060215C" w:rsidRDefault="0060215C" w:rsidP="0060215C"/>
    <w:p w:rsidR="00884032" w:rsidRPr="00884032" w:rsidRDefault="00884032" w:rsidP="00884032">
      <w:pPr>
        <w:rPr>
          <w:rFonts w:eastAsia="Times New Roman"/>
          <w:b/>
        </w:rPr>
      </w:pPr>
      <w:r w:rsidRPr="00884032">
        <w:rPr>
          <w:rFonts w:eastAsia="Times New Roman"/>
          <w:b/>
        </w:rPr>
        <w:t>Rape Victim</w:t>
      </w:r>
    </w:p>
    <w:p w:rsidR="00E0761D" w:rsidRPr="00E0761D" w:rsidRDefault="00E0761D" w:rsidP="00884032">
      <w:pPr>
        <w:rPr>
          <w:rFonts w:eastAsia="Times New Roman"/>
        </w:rPr>
      </w:pPr>
      <w:r w:rsidRPr="00E0761D">
        <w:rPr>
          <w:rFonts w:eastAsia="Times New Roman"/>
        </w:rPr>
        <w:t>Following a hearing in which a rape victim testified against her attacker in December, 2015, the Harris County District Attorney’s Office in Houston, Texas, had the woman jailed on a witness warrant to ensure that she would return to testify at trial.</w:t>
      </w:r>
    </w:p>
    <w:p w:rsidR="00E0761D" w:rsidRDefault="00E0761D" w:rsidP="00884032">
      <w:pPr>
        <w:rPr>
          <w:rFonts w:eastAsia="Times New Roman"/>
        </w:rPr>
      </w:pPr>
      <w:r w:rsidRPr="00E0761D">
        <w:rPr>
          <w:rFonts w:eastAsia="Times New Roman"/>
        </w:rPr>
        <w:t>The woman, who suffers from bipolar disorder, was held in jail for a month over the holidays, placed in a pod with other inmates and subsequently abused. After being denied a request to spend Christmas with her mother, who is suffering with cancer, the woman had a psychiatric episode on January 8, 2016 and says she was punched in the eye and slammed on the ground by guards who were handcuffing her as a result. She was charged with assault. Three days after testifying at her attacker’s trial, she was finally released from jail and the assault charge against her was dropped.</w:t>
      </w:r>
    </w:p>
    <w:p w:rsidR="00035E36" w:rsidRPr="00E0761D" w:rsidRDefault="00035E36" w:rsidP="00884032">
      <w:pPr>
        <w:rPr>
          <w:rFonts w:eastAsia="Times New Roman"/>
        </w:rPr>
      </w:pPr>
      <w:r>
        <w:rPr>
          <w:rFonts w:eastAsia="Times New Roman"/>
        </w:rPr>
        <w:t xml:space="preserve">COMMENT:  While </w:t>
      </w:r>
      <w:r w:rsidR="0060215C">
        <w:rPr>
          <w:rFonts w:eastAsia="Times New Roman"/>
        </w:rPr>
        <w:t>the decision to hold the victim</w:t>
      </w:r>
      <w:r>
        <w:rPr>
          <w:rFonts w:eastAsia="Times New Roman"/>
        </w:rPr>
        <w:t xml:space="preserve"> may be arguably defended at a legal level, it </w:t>
      </w:r>
      <w:r w:rsidR="0060215C">
        <w:rPr>
          <w:rFonts w:eastAsia="Times New Roman"/>
        </w:rPr>
        <w:t xml:space="preserve">seriously </w:t>
      </w:r>
      <w:r>
        <w:rPr>
          <w:rFonts w:eastAsia="Times New Roman"/>
        </w:rPr>
        <w:t xml:space="preserve">violates moral and ethical boundaries.  Prosecutors tend to work at a pragmatic level, doing what they feel </w:t>
      </w:r>
      <w:r w:rsidR="0060215C">
        <w:rPr>
          <w:rFonts w:eastAsia="Times New Roman"/>
        </w:rPr>
        <w:t xml:space="preserve">necessary to secure </w:t>
      </w:r>
      <w:r>
        <w:rPr>
          <w:rFonts w:eastAsia="Times New Roman"/>
        </w:rPr>
        <w:t>conviction</w:t>
      </w:r>
      <w:r w:rsidR="0060215C">
        <w:rPr>
          <w:rFonts w:eastAsia="Times New Roman"/>
        </w:rPr>
        <w:t>s</w:t>
      </w:r>
      <w:r>
        <w:rPr>
          <w:rFonts w:eastAsia="Times New Roman"/>
        </w:rPr>
        <w:t xml:space="preserve">.  </w:t>
      </w:r>
      <w:r w:rsidR="0060215C">
        <w:rPr>
          <w:rFonts w:eastAsia="Times New Roman"/>
        </w:rPr>
        <w:t>Sometimes the best of intentions can produce vile results.  How could this be avoided?</w:t>
      </w:r>
    </w:p>
    <w:p w:rsidR="00884032" w:rsidRPr="00884032" w:rsidRDefault="00884032" w:rsidP="00884032">
      <w:pPr>
        <w:rPr>
          <w:b/>
          <w:sz w:val="24"/>
          <w:szCs w:val="24"/>
        </w:rPr>
      </w:pPr>
      <w:r w:rsidRPr="00884032">
        <w:rPr>
          <w:b/>
          <w:sz w:val="24"/>
          <w:szCs w:val="24"/>
        </w:rPr>
        <w:lastRenderedPageBreak/>
        <w:t>J</w:t>
      </w:r>
      <w:r w:rsidRPr="00884032">
        <w:rPr>
          <w:b/>
        </w:rPr>
        <w:t>ulius Jerome Murphy</w:t>
      </w:r>
    </w:p>
    <w:p w:rsidR="00884032" w:rsidRPr="00884032" w:rsidRDefault="00884032" w:rsidP="00884032">
      <w:pPr>
        <w:rPr>
          <w:sz w:val="24"/>
          <w:szCs w:val="24"/>
        </w:rPr>
      </w:pPr>
      <w:r>
        <w:rPr>
          <w:sz w:val="24"/>
          <w:szCs w:val="24"/>
        </w:rPr>
        <w:t>J</w:t>
      </w:r>
      <w:r w:rsidRPr="00884032">
        <w:t>ulius Jerome Murphy</w:t>
      </w:r>
      <w:r w:rsidRPr="00884032">
        <w:t xml:space="preserve"> was charged with murder and subsequently sentenced to death.</w:t>
      </w:r>
      <w:r w:rsidRPr="00884032">
        <w:rPr>
          <w:rFonts w:ascii="Open Sans" w:hAnsi="Open Sans"/>
        </w:rPr>
        <w:t xml:space="preserve">  </w:t>
      </w:r>
      <w:r w:rsidRPr="00884032">
        <w:t>T</w:t>
      </w:r>
      <w:r w:rsidRPr="00884032">
        <w:t xml:space="preserve">he State’s two most important witnesses were </w:t>
      </w:r>
      <w:proofErr w:type="spellStart"/>
      <w:r w:rsidRPr="00884032">
        <w:t>Javarrow</w:t>
      </w:r>
      <w:proofErr w:type="spellEnd"/>
      <w:r w:rsidRPr="00884032">
        <w:t xml:space="preserve"> Young and Christina Davis. Aside from a statement made by Murphy—an intoxicated defendant with serious intellectual deficits (evidenced by his 71 IQ score)—the testimony of these two witnesses was all that tied Mr. Murphy to the crime. Yet, the defense was never notified that police threatened Young with a murder charge if he did not assist them in Murphy’s prosecution. And, the defense was never notified that police threatened Davis with conspiracy to commit murder unless she did the same. In the end, the State dismissed all charges against Davis. Murphy ended up on death row, and his co-defendant Chris Solomon ultimately received a life sentence.</w:t>
      </w:r>
    </w:p>
    <w:p w:rsidR="00E0761D" w:rsidRDefault="00884032">
      <w:pPr>
        <w:rPr>
          <w:iCs/>
          <w:color w:val="0A0A0A"/>
          <w:sz w:val="24"/>
          <w:szCs w:val="24"/>
        </w:rPr>
      </w:pPr>
      <w:r w:rsidRPr="00884032">
        <w:rPr>
          <w:iCs/>
          <w:color w:val="0A0A0A"/>
          <w:sz w:val="24"/>
          <w:szCs w:val="24"/>
        </w:rPr>
        <w:t>Mr. Murphy’s conviction and death sentence were procured through prosecutorial misconduct. Jurors considered evidence from two key witnesses while the prosecution unlawfully concealed the fact that those witnesses were pressured into testifying with threats of prosecution and promised len</w:t>
      </w:r>
      <w:r>
        <w:rPr>
          <w:iCs/>
          <w:color w:val="0A0A0A"/>
          <w:sz w:val="24"/>
          <w:szCs w:val="24"/>
        </w:rPr>
        <w:t>iency if they testified…</w:t>
      </w:r>
      <w:r w:rsidRPr="00884032">
        <w:rPr>
          <w:iCs/>
          <w:color w:val="0A0A0A"/>
          <w:sz w:val="24"/>
          <w:szCs w:val="24"/>
        </w:rPr>
        <w:t>And one of the witnesses has now identified Mr. Murphy’s co-defendant as the true shooter.</w:t>
      </w:r>
    </w:p>
    <w:p w:rsidR="00884032" w:rsidRDefault="0032022F">
      <w:pPr>
        <w:rPr>
          <w:color w:val="0A0A0A"/>
          <w:sz w:val="24"/>
          <w:szCs w:val="24"/>
        </w:rPr>
      </w:pPr>
      <w:r>
        <w:rPr>
          <w:sz w:val="24"/>
          <w:szCs w:val="24"/>
        </w:rPr>
        <w:t>A</w:t>
      </w:r>
      <w:r>
        <w:rPr>
          <w:sz w:val="24"/>
          <w:szCs w:val="24"/>
        </w:rPr>
        <w:t xml:space="preserve">t the appeal hearing </w:t>
      </w:r>
      <w:r>
        <w:rPr>
          <w:sz w:val="24"/>
          <w:szCs w:val="24"/>
        </w:rPr>
        <w:t xml:space="preserve">Christina Davis testified that </w:t>
      </w:r>
      <w:r w:rsidRPr="0032022F">
        <w:rPr>
          <w:color w:val="0A0A0A"/>
          <w:sz w:val="24"/>
          <w:szCs w:val="24"/>
        </w:rPr>
        <w:t>“When it came time for Julius’ trial, the prosecutor threatened me with a murder charge and said they had enough evidence on me…They told me that if I did not testify against Julius, I would lose my daughter. I believed them.”</w:t>
      </w:r>
    </w:p>
    <w:p w:rsidR="0060215C" w:rsidRDefault="0060215C">
      <w:pPr>
        <w:rPr>
          <w:color w:val="0A0A0A"/>
          <w:sz w:val="24"/>
          <w:szCs w:val="24"/>
        </w:rPr>
      </w:pPr>
      <w:r>
        <w:rPr>
          <w:color w:val="0A0A0A"/>
          <w:sz w:val="24"/>
          <w:szCs w:val="24"/>
        </w:rPr>
        <w:t xml:space="preserve">COMMENT: In this example we see a prosecutor bent on killing a defendant by whatever means possible.  </w:t>
      </w:r>
      <w:r w:rsidR="002D1C80">
        <w:rPr>
          <w:color w:val="0A0A0A"/>
          <w:sz w:val="24"/>
          <w:szCs w:val="24"/>
        </w:rPr>
        <w:t>We do not know</w:t>
      </w:r>
      <w:r>
        <w:rPr>
          <w:color w:val="0A0A0A"/>
          <w:sz w:val="24"/>
          <w:szCs w:val="24"/>
        </w:rPr>
        <w:t xml:space="preserve"> Murphy’s background</w:t>
      </w:r>
      <w:r w:rsidR="002D1C80">
        <w:rPr>
          <w:color w:val="0A0A0A"/>
          <w:sz w:val="24"/>
          <w:szCs w:val="24"/>
        </w:rPr>
        <w:t xml:space="preserve"> but</w:t>
      </w:r>
      <w:r>
        <w:rPr>
          <w:color w:val="0A0A0A"/>
          <w:sz w:val="24"/>
          <w:szCs w:val="24"/>
        </w:rPr>
        <w:t xml:space="preserve"> let us assume </w:t>
      </w:r>
      <w:r w:rsidR="002D1C80">
        <w:rPr>
          <w:color w:val="0A0A0A"/>
          <w:sz w:val="24"/>
          <w:szCs w:val="24"/>
        </w:rPr>
        <w:t xml:space="preserve">a scenario in which </w:t>
      </w:r>
      <w:r>
        <w:rPr>
          <w:color w:val="0A0A0A"/>
          <w:sz w:val="24"/>
          <w:szCs w:val="24"/>
        </w:rPr>
        <w:t>he has a long list of run-ins with the law</w:t>
      </w:r>
      <w:r w:rsidR="002D1C80">
        <w:rPr>
          <w:color w:val="0A0A0A"/>
          <w:sz w:val="24"/>
          <w:szCs w:val="24"/>
        </w:rPr>
        <w:t xml:space="preserve"> and</w:t>
      </w:r>
      <w:r>
        <w:rPr>
          <w:color w:val="0A0A0A"/>
          <w:sz w:val="24"/>
          <w:szCs w:val="24"/>
        </w:rPr>
        <w:t xml:space="preserve"> served</w:t>
      </w:r>
      <w:r w:rsidR="002D1C80">
        <w:rPr>
          <w:color w:val="0A0A0A"/>
          <w:sz w:val="24"/>
          <w:szCs w:val="24"/>
        </w:rPr>
        <w:t xml:space="preserve"> time in prison for some violent offenses and others where he is a suspect but with insufficient evidence to convict him.  </w:t>
      </w:r>
      <w:r>
        <w:rPr>
          <w:color w:val="0A0A0A"/>
          <w:sz w:val="24"/>
          <w:szCs w:val="24"/>
        </w:rPr>
        <w:t xml:space="preserve"> </w:t>
      </w:r>
      <w:r w:rsidR="002D1C80">
        <w:rPr>
          <w:color w:val="0A0A0A"/>
          <w:sz w:val="24"/>
          <w:szCs w:val="24"/>
        </w:rPr>
        <w:t>Can you see how a prosecutor may want to get him off the street by any means possible?  For the sake of argument let us assume that our scenario is accurate.  Were the prosecutor’s actions understandable?  Were they legal, moral, or ethical?  In the end, was justice served?</w:t>
      </w:r>
    </w:p>
    <w:p w:rsidR="0032022F" w:rsidRDefault="0032022F">
      <w:pPr>
        <w:rPr>
          <w:b/>
          <w:color w:val="0A0A0A"/>
          <w:sz w:val="24"/>
          <w:szCs w:val="24"/>
        </w:rPr>
      </w:pPr>
      <w:r>
        <w:rPr>
          <w:b/>
          <w:color w:val="0A0A0A"/>
          <w:sz w:val="24"/>
          <w:szCs w:val="24"/>
        </w:rPr>
        <w:t>Anthony Graves</w:t>
      </w:r>
    </w:p>
    <w:p w:rsidR="0032022F" w:rsidRDefault="0032022F">
      <w:pPr>
        <w:rPr>
          <w:color w:val="0A0A0A"/>
          <w:sz w:val="24"/>
          <w:szCs w:val="24"/>
        </w:rPr>
      </w:pPr>
      <w:r w:rsidRPr="0032022F">
        <w:rPr>
          <w:color w:val="0A0A0A"/>
          <w:sz w:val="24"/>
          <w:szCs w:val="24"/>
        </w:rPr>
        <w:t>T</w:t>
      </w:r>
      <w:r w:rsidRPr="0032022F">
        <w:rPr>
          <w:color w:val="0A0A0A"/>
          <w:sz w:val="24"/>
          <w:szCs w:val="24"/>
        </w:rPr>
        <w:t>he prosecutor in the Anthony Graves case, who knowingly presented false testimony from two key witnesses in Graves’ 1994 capital murder case</w:t>
      </w:r>
      <w:r w:rsidRPr="0032022F">
        <w:rPr>
          <w:color w:val="0A0A0A"/>
          <w:sz w:val="24"/>
          <w:szCs w:val="24"/>
        </w:rPr>
        <w:t>.  Charles Sebesta was the District Attorney in Burleson and Washington counties from 1975-2000.  In 1994, in a case involving the murder of six members of the Davis family, including four children, he prosecuted two men: Robert Carter, the father of one of the children; and Anthony Graves, whom Carter initially implicated, but later denied to the grand jury had anything to do with the crime.</w:t>
      </w:r>
    </w:p>
    <w:p w:rsidR="00035E36" w:rsidRDefault="00035E36">
      <w:pPr>
        <w:rPr>
          <w:sz w:val="24"/>
          <w:szCs w:val="24"/>
        </w:rPr>
      </w:pPr>
      <w:r w:rsidRPr="00035E36">
        <w:rPr>
          <w:sz w:val="24"/>
          <w:szCs w:val="24"/>
        </w:rPr>
        <w:t>Despite this on-the-record denial, Sebesta put Carter on the stand to testify against Graves, soliciting testimony he knew to be false, not only because of the grand jury proceedings but from a statement Carter made to Sebesta the night before he testified against Graves, stating Graves had no involvement in the murders.  Sebesta never informed the defense of this statement.</w:t>
      </w:r>
    </w:p>
    <w:p w:rsidR="00035E36" w:rsidRDefault="00035E36">
      <w:pPr>
        <w:rPr>
          <w:sz w:val="24"/>
          <w:szCs w:val="24"/>
        </w:rPr>
      </w:pPr>
      <w:r w:rsidRPr="00035E36">
        <w:rPr>
          <w:sz w:val="24"/>
          <w:szCs w:val="24"/>
        </w:rPr>
        <w:lastRenderedPageBreak/>
        <w:t xml:space="preserve">After years of post-conviction proceedings, the </w:t>
      </w:r>
      <w:hyperlink r:id="rId6" w:tgtFrame="_blank" w:history="1">
        <w:r w:rsidRPr="00035E36">
          <w:rPr>
            <w:rStyle w:val="Hyperlink"/>
            <w:sz w:val="24"/>
            <w:szCs w:val="24"/>
          </w:rPr>
          <w:t>Fifth Circuit eventually overturned Graves’ conviction in 2006</w:t>
        </w:r>
      </w:hyperlink>
      <w:r w:rsidRPr="00035E36">
        <w:rPr>
          <w:sz w:val="24"/>
          <w:szCs w:val="24"/>
        </w:rPr>
        <w:t>, and when the special prosecutor assigned to the case could find insufficient evidence to retry him, he was released in 2010.</w:t>
      </w:r>
      <w:r>
        <w:rPr>
          <w:sz w:val="24"/>
          <w:szCs w:val="24"/>
        </w:rPr>
        <w:t xml:space="preserve">  </w:t>
      </w:r>
      <w:r w:rsidRPr="00035E36">
        <w:rPr>
          <w:sz w:val="24"/>
          <w:szCs w:val="24"/>
        </w:rPr>
        <w:t>Graves spent eighteen years in prison, fourteen on death row, and was nearly executed twice for a crime of which the State of Texas later declared him “actually innocent.” </w:t>
      </w:r>
    </w:p>
    <w:p w:rsidR="002D1C80" w:rsidRPr="0032022F" w:rsidRDefault="002D1C80">
      <w:pPr>
        <w:rPr>
          <w:sz w:val="24"/>
          <w:szCs w:val="24"/>
        </w:rPr>
      </w:pPr>
      <w:r>
        <w:rPr>
          <w:sz w:val="24"/>
          <w:szCs w:val="24"/>
        </w:rPr>
        <w:t xml:space="preserve">COMMENT:  </w:t>
      </w:r>
      <w:r w:rsidR="00C533A6">
        <w:rPr>
          <w:sz w:val="24"/>
          <w:szCs w:val="24"/>
        </w:rPr>
        <w:t xml:space="preserve">What is lacking here, as in most reports of this type, is any sense of motivation for the prosecutor to go so far outside of the law to obtain a conviction.  Note that the special prosecutor found “insufficient evidence” to re-try Graves.  This seems clear enough from the prosecutor Sebesta’s actions in the initial trial.  So what would drive Sebesta to such lengths to secure a conviction?  He already had one defendant (Carter) who was not disputing his own involvement.  </w:t>
      </w:r>
      <w:r w:rsidR="00112CB9">
        <w:rPr>
          <w:sz w:val="24"/>
          <w:szCs w:val="24"/>
        </w:rPr>
        <w:t>Is it possible that Graves fit a profile or had a history that would make his involvement believable?  If a Sebesta believed in his heart of hearts that Graves was involved, could his actions be understood?  Could his actions be justified?</w:t>
      </w:r>
      <w:bookmarkStart w:id="0" w:name="_GoBack"/>
      <w:bookmarkEnd w:id="0"/>
    </w:p>
    <w:sectPr w:rsidR="002D1C80" w:rsidRPr="003202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Open Sans">
    <w:altName w:val="Adobe Garamond Pro Bold"/>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6125C"/>
    <w:multiLevelType w:val="multilevel"/>
    <w:tmpl w:val="04B85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82775B"/>
    <w:multiLevelType w:val="multilevel"/>
    <w:tmpl w:val="3EF8305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0"/>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num>
  <w:num w:numId="19">
    <w:abstractNumId w:val="1"/>
  </w:num>
  <w:num w:numId="20">
    <w:abstractNumId w:val="1"/>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2E1"/>
    <w:rsid w:val="00035E36"/>
    <w:rsid w:val="00112CB9"/>
    <w:rsid w:val="00146DFD"/>
    <w:rsid w:val="002D1C80"/>
    <w:rsid w:val="0032022F"/>
    <w:rsid w:val="004E02E1"/>
    <w:rsid w:val="0060215C"/>
    <w:rsid w:val="00884032"/>
    <w:rsid w:val="00982C2A"/>
    <w:rsid w:val="00C533A6"/>
    <w:rsid w:val="00E076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31813"/>
  <w15:chartTrackingRefBased/>
  <w15:docId w15:val="{CD5269A4-25B3-493E-9C03-7FA546DAF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E02E1"/>
  </w:style>
  <w:style w:type="paragraph" w:styleId="Heading1">
    <w:name w:val="heading 1"/>
    <w:basedOn w:val="Normal"/>
    <w:next w:val="Normal"/>
    <w:link w:val="Heading1Char"/>
    <w:uiPriority w:val="9"/>
    <w:qFormat/>
    <w:rsid w:val="004E02E1"/>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Heading2">
    <w:name w:val="heading 2"/>
    <w:basedOn w:val="Normal"/>
    <w:next w:val="Normal"/>
    <w:link w:val="Heading2Char"/>
    <w:uiPriority w:val="9"/>
    <w:unhideWhenUsed/>
    <w:qFormat/>
    <w:rsid w:val="004E02E1"/>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Heading3">
    <w:name w:val="heading 3"/>
    <w:basedOn w:val="Normal"/>
    <w:next w:val="Normal"/>
    <w:link w:val="Heading3Char"/>
    <w:uiPriority w:val="9"/>
    <w:semiHidden/>
    <w:unhideWhenUsed/>
    <w:qFormat/>
    <w:rsid w:val="004E02E1"/>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Heading4">
    <w:name w:val="heading 4"/>
    <w:basedOn w:val="Normal"/>
    <w:next w:val="Normal"/>
    <w:link w:val="Heading4Char"/>
    <w:uiPriority w:val="9"/>
    <w:semiHidden/>
    <w:unhideWhenUsed/>
    <w:qFormat/>
    <w:rsid w:val="004E02E1"/>
    <w:pPr>
      <w:keepNext/>
      <w:keepLines/>
      <w:spacing w:before="40" w:after="0"/>
      <w:outlineLvl w:val="3"/>
    </w:pPr>
    <w:rPr>
      <w:rFonts w:asciiTheme="majorHAnsi" w:eastAsiaTheme="majorEastAsia" w:hAnsiTheme="majorHAnsi" w:cstheme="majorBidi"/>
      <w:i/>
      <w:iCs/>
      <w:color w:val="404040" w:themeColor="text1" w:themeTint="BF"/>
    </w:rPr>
  </w:style>
  <w:style w:type="paragraph" w:styleId="Heading5">
    <w:name w:val="heading 5"/>
    <w:basedOn w:val="Normal"/>
    <w:next w:val="Normal"/>
    <w:link w:val="Heading5Char"/>
    <w:uiPriority w:val="9"/>
    <w:semiHidden/>
    <w:unhideWhenUsed/>
    <w:qFormat/>
    <w:rsid w:val="004E02E1"/>
    <w:pPr>
      <w:keepNext/>
      <w:keepLines/>
      <w:spacing w:before="40" w:after="0"/>
      <w:outlineLvl w:val="4"/>
    </w:pPr>
    <w:rPr>
      <w:rFonts w:asciiTheme="majorHAnsi" w:eastAsiaTheme="majorEastAsia" w:hAnsiTheme="majorHAnsi" w:cstheme="majorBidi"/>
      <w:color w:val="404040" w:themeColor="text1" w:themeTint="BF"/>
    </w:rPr>
  </w:style>
  <w:style w:type="paragraph" w:styleId="Heading6">
    <w:name w:val="heading 6"/>
    <w:basedOn w:val="Normal"/>
    <w:next w:val="Normal"/>
    <w:link w:val="Heading6Char"/>
    <w:uiPriority w:val="9"/>
    <w:semiHidden/>
    <w:unhideWhenUsed/>
    <w:qFormat/>
    <w:rsid w:val="004E02E1"/>
    <w:pPr>
      <w:keepNext/>
      <w:keepLines/>
      <w:spacing w:before="40" w:after="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4E02E1"/>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4E02E1"/>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rsid w:val="004E02E1"/>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02E1"/>
    <w:rPr>
      <w:rFonts w:asciiTheme="majorHAnsi" w:eastAsiaTheme="majorEastAsia" w:hAnsiTheme="majorHAnsi" w:cstheme="majorBidi"/>
      <w:color w:val="262626" w:themeColor="text1" w:themeTint="D9"/>
      <w:sz w:val="32"/>
      <w:szCs w:val="32"/>
    </w:rPr>
  </w:style>
  <w:style w:type="paragraph" w:styleId="NormalWeb">
    <w:name w:val="Normal (Web)"/>
    <w:basedOn w:val="Normal"/>
    <w:uiPriority w:val="99"/>
    <w:semiHidden/>
    <w:unhideWhenUsed/>
    <w:rsid w:val="004E02E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4E02E1"/>
    <w:rPr>
      <w:rFonts w:asciiTheme="majorHAnsi" w:eastAsiaTheme="majorEastAsia" w:hAnsiTheme="majorHAnsi" w:cstheme="majorBidi"/>
      <w:color w:val="262626" w:themeColor="text1" w:themeTint="D9"/>
      <w:sz w:val="28"/>
      <w:szCs w:val="28"/>
    </w:rPr>
  </w:style>
  <w:style w:type="character" w:customStyle="1" w:styleId="Heading3Char">
    <w:name w:val="Heading 3 Char"/>
    <w:basedOn w:val="DefaultParagraphFont"/>
    <w:link w:val="Heading3"/>
    <w:uiPriority w:val="9"/>
    <w:semiHidden/>
    <w:rsid w:val="004E02E1"/>
    <w:rPr>
      <w:rFonts w:asciiTheme="majorHAnsi" w:eastAsiaTheme="majorEastAsia" w:hAnsiTheme="majorHAnsi" w:cstheme="majorBidi"/>
      <w:color w:val="0D0D0D" w:themeColor="text1" w:themeTint="F2"/>
      <w:sz w:val="24"/>
      <w:szCs w:val="24"/>
    </w:rPr>
  </w:style>
  <w:style w:type="character" w:customStyle="1" w:styleId="Heading4Char">
    <w:name w:val="Heading 4 Char"/>
    <w:basedOn w:val="DefaultParagraphFont"/>
    <w:link w:val="Heading4"/>
    <w:uiPriority w:val="9"/>
    <w:semiHidden/>
    <w:rsid w:val="004E02E1"/>
    <w:rPr>
      <w:rFonts w:asciiTheme="majorHAnsi" w:eastAsiaTheme="majorEastAsia" w:hAnsiTheme="majorHAnsi" w:cstheme="majorBidi"/>
      <w:i/>
      <w:iCs/>
      <w:color w:val="404040" w:themeColor="text1" w:themeTint="BF"/>
    </w:rPr>
  </w:style>
  <w:style w:type="character" w:customStyle="1" w:styleId="Heading5Char">
    <w:name w:val="Heading 5 Char"/>
    <w:basedOn w:val="DefaultParagraphFont"/>
    <w:link w:val="Heading5"/>
    <w:uiPriority w:val="9"/>
    <w:semiHidden/>
    <w:rsid w:val="004E02E1"/>
    <w:rPr>
      <w:rFonts w:asciiTheme="majorHAnsi" w:eastAsiaTheme="majorEastAsia" w:hAnsiTheme="majorHAnsi" w:cstheme="majorBidi"/>
      <w:color w:val="404040" w:themeColor="text1" w:themeTint="BF"/>
    </w:rPr>
  </w:style>
  <w:style w:type="character" w:customStyle="1" w:styleId="Heading6Char">
    <w:name w:val="Heading 6 Char"/>
    <w:basedOn w:val="DefaultParagraphFont"/>
    <w:link w:val="Heading6"/>
    <w:uiPriority w:val="9"/>
    <w:semiHidden/>
    <w:rsid w:val="004E02E1"/>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4E02E1"/>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4E02E1"/>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4E02E1"/>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4E02E1"/>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4E02E1"/>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4E02E1"/>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4E02E1"/>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4E02E1"/>
    <w:rPr>
      <w:color w:val="5A5A5A" w:themeColor="text1" w:themeTint="A5"/>
      <w:spacing w:val="15"/>
    </w:rPr>
  </w:style>
  <w:style w:type="character" w:styleId="Strong">
    <w:name w:val="Strong"/>
    <w:basedOn w:val="DefaultParagraphFont"/>
    <w:uiPriority w:val="22"/>
    <w:qFormat/>
    <w:rsid w:val="004E02E1"/>
    <w:rPr>
      <w:b/>
      <w:bCs/>
      <w:color w:val="auto"/>
    </w:rPr>
  </w:style>
  <w:style w:type="character" w:styleId="Emphasis">
    <w:name w:val="Emphasis"/>
    <w:basedOn w:val="DefaultParagraphFont"/>
    <w:uiPriority w:val="20"/>
    <w:qFormat/>
    <w:rsid w:val="004E02E1"/>
    <w:rPr>
      <w:i/>
      <w:iCs/>
      <w:color w:val="auto"/>
    </w:rPr>
  </w:style>
  <w:style w:type="paragraph" w:styleId="NoSpacing">
    <w:name w:val="No Spacing"/>
    <w:uiPriority w:val="1"/>
    <w:qFormat/>
    <w:rsid w:val="004E02E1"/>
    <w:pPr>
      <w:spacing w:after="0" w:line="240" w:lineRule="auto"/>
    </w:pPr>
  </w:style>
  <w:style w:type="paragraph" w:styleId="Quote">
    <w:name w:val="Quote"/>
    <w:basedOn w:val="Normal"/>
    <w:next w:val="Normal"/>
    <w:link w:val="QuoteChar"/>
    <w:uiPriority w:val="29"/>
    <w:qFormat/>
    <w:rsid w:val="004E02E1"/>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4E02E1"/>
    <w:rPr>
      <w:i/>
      <w:iCs/>
      <w:color w:val="404040" w:themeColor="text1" w:themeTint="BF"/>
    </w:rPr>
  </w:style>
  <w:style w:type="paragraph" w:styleId="IntenseQuote">
    <w:name w:val="Intense Quote"/>
    <w:basedOn w:val="Normal"/>
    <w:next w:val="Normal"/>
    <w:link w:val="IntenseQuoteChar"/>
    <w:uiPriority w:val="30"/>
    <w:qFormat/>
    <w:rsid w:val="004E02E1"/>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4E02E1"/>
    <w:rPr>
      <w:i/>
      <w:iCs/>
      <w:color w:val="404040" w:themeColor="text1" w:themeTint="BF"/>
    </w:rPr>
  </w:style>
  <w:style w:type="character" w:styleId="SubtleEmphasis">
    <w:name w:val="Subtle Emphasis"/>
    <w:basedOn w:val="DefaultParagraphFont"/>
    <w:uiPriority w:val="19"/>
    <w:qFormat/>
    <w:rsid w:val="004E02E1"/>
    <w:rPr>
      <w:i/>
      <w:iCs/>
      <w:color w:val="404040" w:themeColor="text1" w:themeTint="BF"/>
    </w:rPr>
  </w:style>
  <w:style w:type="character" w:styleId="IntenseEmphasis">
    <w:name w:val="Intense Emphasis"/>
    <w:basedOn w:val="DefaultParagraphFont"/>
    <w:uiPriority w:val="21"/>
    <w:qFormat/>
    <w:rsid w:val="004E02E1"/>
    <w:rPr>
      <w:b/>
      <w:bCs/>
      <w:i/>
      <w:iCs/>
      <w:color w:val="auto"/>
    </w:rPr>
  </w:style>
  <w:style w:type="character" w:styleId="SubtleReference">
    <w:name w:val="Subtle Reference"/>
    <w:basedOn w:val="DefaultParagraphFont"/>
    <w:uiPriority w:val="31"/>
    <w:qFormat/>
    <w:rsid w:val="004E02E1"/>
    <w:rPr>
      <w:smallCaps/>
      <w:color w:val="404040" w:themeColor="text1" w:themeTint="BF"/>
    </w:rPr>
  </w:style>
  <w:style w:type="character" w:styleId="IntenseReference">
    <w:name w:val="Intense Reference"/>
    <w:basedOn w:val="DefaultParagraphFont"/>
    <w:uiPriority w:val="32"/>
    <w:qFormat/>
    <w:rsid w:val="004E02E1"/>
    <w:rPr>
      <w:b/>
      <w:bCs/>
      <w:smallCaps/>
      <w:color w:val="404040" w:themeColor="text1" w:themeTint="BF"/>
      <w:spacing w:val="5"/>
    </w:rPr>
  </w:style>
  <w:style w:type="character" w:styleId="BookTitle">
    <w:name w:val="Book Title"/>
    <w:basedOn w:val="DefaultParagraphFont"/>
    <w:uiPriority w:val="33"/>
    <w:qFormat/>
    <w:rsid w:val="004E02E1"/>
    <w:rPr>
      <w:b/>
      <w:bCs/>
      <w:i/>
      <w:iCs/>
      <w:spacing w:val="5"/>
    </w:rPr>
  </w:style>
  <w:style w:type="paragraph" w:styleId="TOCHeading">
    <w:name w:val="TOC Heading"/>
    <w:basedOn w:val="Heading1"/>
    <w:next w:val="Normal"/>
    <w:uiPriority w:val="39"/>
    <w:semiHidden/>
    <w:unhideWhenUsed/>
    <w:qFormat/>
    <w:rsid w:val="004E02E1"/>
    <w:pPr>
      <w:outlineLvl w:val="9"/>
    </w:pPr>
  </w:style>
  <w:style w:type="character" w:styleId="Hyperlink">
    <w:name w:val="Hyperlink"/>
    <w:basedOn w:val="DefaultParagraphFont"/>
    <w:uiPriority w:val="99"/>
    <w:unhideWhenUsed/>
    <w:rsid w:val="004E02E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5475167">
      <w:bodyDiv w:val="1"/>
      <w:marLeft w:val="0"/>
      <w:marRight w:val="0"/>
      <w:marTop w:val="0"/>
      <w:marBottom w:val="0"/>
      <w:divBdr>
        <w:top w:val="none" w:sz="0" w:space="0" w:color="auto"/>
        <w:left w:val="none" w:sz="0" w:space="0" w:color="auto"/>
        <w:bottom w:val="none" w:sz="0" w:space="0" w:color="auto"/>
        <w:right w:val="none" w:sz="0" w:space="0" w:color="auto"/>
      </w:divBdr>
      <w:divsChild>
        <w:div w:id="2041081412">
          <w:marLeft w:val="0"/>
          <w:marRight w:val="0"/>
          <w:marTop w:val="0"/>
          <w:marBottom w:val="0"/>
          <w:divBdr>
            <w:top w:val="none" w:sz="0" w:space="0" w:color="auto"/>
            <w:left w:val="none" w:sz="0" w:space="0" w:color="auto"/>
            <w:bottom w:val="none" w:sz="0" w:space="0" w:color="auto"/>
            <w:right w:val="none" w:sz="0" w:space="0" w:color="auto"/>
          </w:divBdr>
          <w:divsChild>
            <w:div w:id="1435515110">
              <w:marLeft w:val="0"/>
              <w:marRight w:val="0"/>
              <w:marTop w:val="0"/>
              <w:marBottom w:val="0"/>
              <w:divBdr>
                <w:top w:val="none" w:sz="0" w:space="0" w:color="auto"/>
                <w:left w:val="none" w:sz="0" w:space="0" w:color="auto"/>
                <w:bottom w:val="none" w:sz="0" w:space="0" w:color="auto"/>
                <w:right w:val="none" w:sz="0" w:space="0" w:color="auto"/>
              </w:divBdr>
              <w:divsChild>
                <w:div w:id="572276666">
                  <w:marLeft w:val="0"/>
                  <w:marRight w:val="0"/>
                  <w:marTop w:val="0"/>
                  <w:marBottom w:val="0"/>
                  <w:divBdr>
                    <w:top w:val="none" w:sz="0" w:space="0" w:color="auto"/>
                    <w:left w:val="none" w:sz="0" w:space="0" w:color="auto"/>
                    <w:bottom w:val="none" w:sz="0" w:space="0" w:color="auto"/>
                    <w:right w:val="none" w:sz="0" w:space="0" w:color="auto"/>
                  </w:divBdr>
                  <w:divsChild>
                    <w:div w:id="342822487">
                      <w:marLeft w:val="0"/>
                      <w:marRight w:val="0"/>
                      <w:marTop w:val="100"/>
                      <w:marBottom w:val="100"/>
                      <w:divBdr>
                        <w:top w:val="none" w:sz="0" w:space="0" w:color="auto"/>
                        <w:left w:val="none" w:sz="0" w:space="0" w:color="auto"/>
                        <w:bottom w:val="none" w:sz="0" w:space="0" w:color="auto"/>
                        <w:right w:val="none" w:sz="0" w:space="0" w:color="auto"/>
                      </w:divBdr>
                      <w:divsChild>
                        <w:div w:id="958144795">
                          <w:marLeft w:val="0"/>
                          <w:marRight w:val="0"/>
                          <w:marTop w:val="0"/>
                          <w:marBottom w:val="0"/>
                          <w:divBdr>
                            <w:top w:val="none" w:sz="0" w:space="0" w:color="auto"/>
                            <w:left w:val="none" w:sz="0" w:space="0" w:color="auto"/>
                            <w:bottom w:val="none" w:sz="0" w:space="0" w:color="auto"/>
                            <w:right w:val="none" w:sz="0" w:space="0" w:color="auto"/>
                          </w:divBdr>
                          <w:divsChild>
                            <w:div w:id="1041788737">
                              <w:marLeft w:val="0"/>
                              <w:marRight w:val="0"/>
                              <w:marTop w:val="0"/>
                              <w:marBottom w:val="0"/>
                              <w:divBdr>
                                <w:top w:val="none" w:sz="0" w:space="0" w:color="auto"/>
                                <w:left w:val="none" w:sz="0" w:space="0" w:color="auto"/>
                                <w:bottom w:val="none" w:sz="0" w:space="0" w:color="auto"/>
                                <w:right w:val="none" w:sz="0" w:space="0" w:color="auto"/>
                              </w:divBdr>
                              <w:divsChild>
                                <w:div w:id="185545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8702989">
      <w:bodyDiv w:val="1"/>
      <w:marLeft w:val="0"/>
      <w:marRight w:val="0"/>
      <w:marTop w:val="0"/>
      <w:marBottom w:val="0"/>
      <w:divBdr>
        <w:top w:val="none" w:sz="0" w:space="0" w:color="auto"/>
        <w:left w:val="none" w:sz="0" w:space="0" w:color="auto"/>
        <w:bottom w:val="none" w:sz="0" w:space="0" w:color="auto"/>
        <w:right w:val="none" w:sz="0" w:space="0" w:color="auto"/>
      </w:divBdr>
      <w:divsChild>
        <w:div w:id="122702202">
          <w:marLeft w:val="0"/>
          <w:marRight w:val="0"/>
          <w:marTop w:val="0"/>
          <w:marBottom w:val="0"/>
          <w:divBdr>
            <w:top w:val="none" w:sz="0" w:space="0" w:color="auto"/>
            <w:left w:val="none" w:sz="0" w:space="0" w:color="auto"/>
            <w:bottom w:val="none" w:sz="0" w:space="0" w:color="auto"/>
            <w:right w:val="none" w:sz="0" w:space="0" w:color="auto"/>
          </w:divBdr>
          <w:divsChild>
            <w:div w:id="229776913">
              <w:marLeft w:val="0"/>
              <w:marRight w:val="0"/>
              <w:marTop w:val="0"/>
              <w:marBottom w:val="0"/>
              <w:divBdr>
                <w:top w:val="none" w:sz="0" w:space="0" w:color="auto"/>
                <w:left w:val="none" w:sz="0" w:space="0" w:color="auto"/>
                <w:bottom w:val="none" w:sz="0" w:space="0" w:color="auto"/>
                <w:right w:val="none" w:sz="0" w:space="0" w:color="auto"/>
              </w:divBdr>
              <w:divsChild>
                <w:div w:id="1219517590">
                  <w:marLeft w:val="0"/>
                  <w:marRight w:val="0"/>
                  <w:marTop w:val="0"/>
                  <w:marBottom w:val="0"/>
                  <w:divBdr>
                    <w:top w:val="none" w:sz="0" w:space="0" w:color="auto"/>
                    <w:left w:val="none" w:sz="0" w:space="0" w:color="auto"/>
                    <w:bottom w:val="none" w:sz="0" w:space="0" w:color="auto"/>
                    <w:right w:val="none" w:sz="0" w:space="0" w:color="auto"/>
                  </w:divBdr>
                  <w:divsChild>
                    <w:div w:id="734090585">
                      <w:marLeft w:val="0"/>
                      <w:marRight w:val="0"/>
                      <w:marTop w:val="0"/>
                      <w:marBottom w:val="0"/>
                      <w:divBdr>
                        <w:top w:val="none" w:sz="0" w:space="0" w:color="auto"/>
                        <w:left w:val="none" w:sz="0" w:space="0" w:color="auto"/>
                        <w:bottom w:val="none" w:sz="0" w:space="0" w:color="auto"/>
                        <w:right w:val="none" w:sz="0" w:space="0" w:color="auto"/>
                      </w:divBdr>
                      <w:divsChild>
                        <w:div w:id="1083911672">
                          <w:marLeft w:val="0"/>
                          <w:marRight w:val="0"/>
                          <w:marTop w:val="0"/>
                          <w:marBottom w:val="0"/>
                          <w:divBdr>
                            <w:top w:val="none" w:sz="0" w:space="0" w:color="auto"/>
                            <w:left w:val="none" w:sz="0" w:space="0" w:color="auto"/>
                            <w:bottom w:val="none" w:sz="0" w:space="0" w:color="auto"/>
                            <w:right w:val="none" w:sz="0" w:space="0" w:color="auto"/>
                          </w:divBdr>
                          <w:divsChild>
                            <w:div w:id="137815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a5.uscourts.gov/Opinions/pub/05/05-70011-CV0.wpd.pdf" TargetMode="External"/><Relationship Id="rId5" Type="http://schemas.openxmlformats.org/officeDocument/2006/relationships/hyperlink" Target="http://definitions.uslegal.com/p/prosecutorial-misconduc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3</Pages>
  <Words>1015</Words>
  <Characters>5789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Cuvelier</dc:creator>
  <cp:keywords/>
  <dc:description/>
  <cp:lastModifiedBy>Steven Cuvelier</cp:lastModifiedBy>
  <cp:revision>1</cp:revision>
  <dcterms:created xsi:type="dcterms:W3CDTF">2016-08-13T01:55:00Z</dcterms:created>
  <dcterms:modified xsi:type="dcterms:W3CDTF">2016-08-13T03:46:00Z</dcterms:modified>
</cp:coreProperties>
</file>